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4CC3" w14:textId="0C748B41" w:rsidR="00961086" w:rsidRPr="00413F0F" w:rsidRDefault="00961086" w:rsidP="00961086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  <w:t>Załącznik do Uchwały Zarządu MROT</w:t>
      </w:r>
    </w:p>
    <w:p w14:paraId="6E0EE12D" w14:textId="3FAAB6B0" w:rsidR="00961086" w:rsidRPr="00413F0F" w:rsidRDefault="00961086" w:rsidP="00961086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</w:r>
      <w:r w:rsidRPr="00413F0F">
        <w:rPr>
          <w:rFonts w:ascii="Titillium Web" w:hAnsi="Titillium Web"/>
          <w:b/>
        </w:rPr>
        <w:tab/>
        <w:t xml:space="preserve">Nr </w:t>
      </w:r>
      <w:r w:rsidR="00EE1058">
        <w:rPr>
          <w:rFonts w:ascii="Titillium Web" w:hAnsi="Titillium Web"/>
          <w:b/>
        </w:rPr>
        <w:t>4/06</w:t>
      </w:r>
      <w:r w:rsidRPr="00413F0F">
        <w:rPr>
          <w:rFonts w:ascii="Titillium Web" w:hAnsi="Titillium Web"/>
          <w:b/>
        </w:rPr>
        <w:t>/08/</w:t>
      </w:r>
      <w:r w:rsidR="003268F5" w:rsidRPr="00413F0F">
        <w:rPr>
          <w:rFonts w:ascii="Titillium Web" w:hAnsi="Titillium Web"/>
          <w:b/>
        </w:rPr>
        <w:t xml:space="preserve">2025 </w:t>
      </w:r>
      <w:r w:rsidRPr="00413F0F">
        <w:rPr>
          <w:rFonts w:ascii="Titillium Web" w:hAnsi="Titillium Web"/>
          <w:b/>
        </w:rPr>
        <w:t xml:space="preserve">z dnia </w:t>
      </w:r>
      <w:r w:rsidR="00400C36">
        <w:rPr>
          <w:rFonts w:ascii="Titillium Web" w:hAnsi="Titillium Web"/>
          <w:b/>
        </w:rPr>
        <w:t>6</w:t>
      </w:r>
      <w:r w:rsidR="003268F5" w:rsidRPr="00413F0F">
        <w:rPr>
          <w:rFonts w:ascii="Titillium Web" w:hAnsi="Titillium Web"/>
          <w:b/>
        </w:rPr>
        <w:t xml:space="preserve"> </w:t>
      </w:r>
      <w:r w:rsidRPr="00413F0F">
        <w:rPr>
          <w:rFonts w:ascii="Titillium Web" w:hAnsi="Titillium Web"/>
          <w:b/>
        </w:rPr>
        <w:t xml:space="preserve">sierpnia </w:t>
      </w:r>
      <w:r w:rsidR="003268F5" w:rsidRPr="00413F0F">
        <w:rPr>
          <w:rFonts w:ascii="Titillium Web" w:hAnsi="Titillium Web"/>
          <w:b/>
        </w:rPr>
        <w:t xml:space="preserve">2025 </w:t>
      </w:r>
      <w:r w:rsidRPr="00413F0F">
        <w:rPr>
          <w:rFonts w:ascii="Titillium Web" w:hAnsi="Titillium Web"/>
          <w:b/>
        </w:rPr>
        <w:t>roku</w:t>
      </w:r>
    </w:p>
    <w:p w14:paraId="0211DCA4" w14:textId="77777777" w:rsidR="00961086" w:rsidRPr="00413F0F" w:rsidRDefault="00961086" w:rsidP="00482FEB">
      <w:pPr>
        <w:jc w:val="center"/>
        <w:rPr>
          <w:rFonts w:ascii="Titillium Web" w:hAnsi="Titillium Web"/>
          <w:b/>
        </w:rPr>
      </w:pPr>
    </w:p>
    <w:p w14:paraId="7EF6B312" w14:textId="21030499" w:rsidR="00210C47" w:rsidRPr="00413F0F" w:rsidRDefault="00482FEB" w:rsidP="00CF44CC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br/>
      </w:r>
      <w:r w:rsidRPr="00413F0F">
        <w:rPr>
          <w:rFonts w:ascii="Titillium Web" w:hAnsi="Titillium Web"/>
          <w:b/>
        </w:rPr>
        <w:br/>
        <w:t>REGULAMIN REKOMENDACJI MAZOVIA CONVENTION BUREAU</w:t>
      </w:r>
      <w:r w:rsidR="00210C47" w:rsidRPr="00413F0F">
        <w:rPr>
          <w:rFonts w:ascii="Titillium Web" w:hAnsi="Titillium Web"/>
          <w:b/>
        </w:rPr>
        <w:t xml:space="preserve"> </w:t>
      </w:r>
    </w:p>
    <w:p w14:paraId="1C433EEE" w14:textId="0DE756B9" w:rsidR="00412959" w:rsidRPr="00413F0F" w:rsidRDefault="00210C47" w:rsidP="00CF44CC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 xml:space="preserve">DLA ORGANIZATORÓW SPOTKAŃ NA MAZOWSZU </w:t>
      </w:r>
    </w:p>
    <w:p w14:paraId="672A6659" w14:textId="77777777" w:rsidR="00482FEB" w:rsidRDefault="00482FEB" w:rsidP="00482FEB">
      <w:pPr>
        <w:jc w:val="center"/>
        <w:rPr>
          <w:rFonts w:ascii="Titillium Web" w:hAnsi="Titillium Web"/>
          <w:b/>
        </w:rPr>
      </w:pPr>
    </w:p>
    <w:p w14:paraId="05BD92A6" w14:textId="77777777" w:rsidR="00CA0983" w:rsidRPr="00413F0F" w:rsidRDefault="00CA0983" w:rsidP="00482FEB">
      <w:pPr>
        <w:jc w:val="center"/>
        <w:rPr>
          <w:rFonts w:ascii="Titillium Web" w:hAnsi="Titillium Web"/>
          <w:b/>
        </w:rPr>
      </w:pPr>
    </w:p>
    <w:p w14:paraId="28DE3BA5" w14:textId="77777777" w:rsidR="00482FEB" w:rsidRPr="00413F0F" w:rsidRDefault="00482FEB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-1-</w:t>
      </w:r>
    </w:p>
    <w:p w14:paraId="2C1EFB93" w14:textId="23660E8B" w:rsidR="00482FEB" w:rsidRPr="00CA0983" w:rsidRDefault="00482FEB" w:rsidP="00CA0983">
      <w:pPr>
        <w:spacing w:after="0"/>
        <w:jc w:val="both"/>
        <w:rPr>
          <w:rFonts w:ascii="Titillium Web" w:hAnsi="Titillium Web"/>
        </w:rPr>
      </w:pP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Pr="00413F0F">
        <w:rPr>
          <w:rFonts w:ascii="Titillium Web" w:hAnsi="Titillium Web"/>
        </w:rPr>
        <w:t xml:space="preserve"> (MCB), działające w strukturach Mazowieckiej Regionalnej Organizacji Turystycznej zajmuje się promocją i wsparciem organizatorów spotkań na terenie Mazowsza. MCB prowadzi program rekomendacji Profesjonalnych Organizatorów Kongresów (PCO), czyli firm specjalizujących się w </w:t>
      </w:r>
      <w:r w:rsidR="002409A3" w:rsidRPr="00516EB8">
        <w:rPr>
          <w:rFonts w:ascii="Titillium Web" w:hAnsi="Titillium Web"/>
        </w:rPr>
        <w:t>profesjonalnej</w:t>
      </w:r>
      <w:r w:rsidR="002409A3" w:rsidRPr="00413F0F">
        <w:rPr>
          <w:rFonts w:ascii="Titillium Web" w:hAnsi="Titillium Web"/>
        </w:rPr>
        <w:t xml:space="preserve"> </w:t>
      </w:r>
      <w:r w:rsidRPr="00413F0F">
        <w:rPr>
          <w:rFonts w:ascii="Titillium Web" w:hAnsi="Titillium Web"/>
        </w:rPr>
        <w:t>organizacji</w:t>
      </w:r>
      <w:r w:rsidR="00516EB8">
        <w:rPr>
          <w:rFonts w:ascii="Titillium Web" w:hAnsi="Titillium Web"/>
        </w:rPr>
        <w:t xml:space="preserve"> </w:t>
      </w:r>
      <w:r w:rsidRPr="00413F0F">
        <w:rPr>
          <w:rFonts w:ascii="Titillium Web" w:hAnsi="Titillium Web"/>
        </w:rPr>
        <w:t>kongresów, konferencji i innych wydarzeń biznesowych.</w:t>
      </w:r>
      <w:r w:rsidR="005B5E4B" w:rsidRPr="00413F0F">
        <w:rPr>
          <w:rFonts w:ascii="Titillium Web" w:hAnsi="Titillium Web"/>
        </w:rPr>
        <w:t xml:space="preserve"> </w:t>
      </w:r>
    </w:p>
    <w:p w14:paraId="0CF0B5D3" w14:textId="77777777" w:rsidR="00482FEB" w:rsidRPr="00413F0F" w:rsidRDefault="00482FEB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-2-</w:t>
      </w:r>
    </w:p>
    <w:p w14:paraId="1A2DE73C" w14:textId="77777777" w:rsidR="00882051" w:rsidRPr="00413F0F" w:rsidRDefault="00482FEB" w:rsidP="00CA0983">
      <w:pPr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Aby otrzymać rekomendację PCO od </w:t>
      </w: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Pr="00413F0F">
        <w:rPr>
          <w:rFonts w:ascii="Titillium Web" w:hAnsi="Titillium Web"/>
        </w:rPr>
        <w:t>, podmiot aplikujący o rekomendację musi spełnić następujące warunki:</w:t>
      </w:r>
    </w:p>
    <w:p w14:paraId="22425FEF" w14:textId="36A38F5D" w:rsidR="00882051" w:rsidRPr="00413F0F" w:rsidRDefault="23D2293D" w:rsidP="00CA09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posiadać aktualny wpis do rejestru Marszałka </w:t>
      </w:r>
      <w:r w:rsidR="005A6E19" w:rsidRPr="00516EB8">
        <w:rPr>
          <w:rFonts w:ascii="Titillium Web" w:hAnsi="Titillium Web"/>
        </w:rPr>
        <w:t>danego</w:t>
      </w:r>
      <w:r w:rsidR="005A6E19" w:rsidRPr="00413F0F">
        <w:rPr>
          <w:rFonts w:ascii="Titillium Web" w:hAnsi="Titillium Web"/>
          <w:color w:val="EE0000"/>
        </w:rPr>
        <w:t xml:space="preserve"> </w:t>
      </w:r>
      <w:r w:rsidRPr="00413F0F">
        <w:rPr>
          <w:rFonts w:ascii="Titillium Web" w:hAnsi="Titillium Web"/>
        </w:rPr>
        <w:t>Województwa lub</w:t>
      </w:r>
      <w:r w:rsidR="0053302D" w:rsidRPr="00413F0F">
        <w:rPr>
          <w:rFonts w:ascii="Titillium Web" w:hAnsi="Titillium Web"/>
        </w:rPr>
        <w:t xml:space="preserve"> jego</w:t>
      </w:r>
      <w:r w:rsidRPr="00413F0F">
        <w:rPr>
          <w:rFonts w:ascii="Titillium Web" w:hAnsi="Titillium Web"/>
        </w:rPr>
        <w:t xml:space="preserve"> odpis, potwierdzając</w:t>
      </w:r>
      <w:r w:rsidR="002409A3" w:rsidRPr="00413F0F">
        <w:rPr>
          <w:rFonts w:ascii="Titillium Web" w:hAnsi="Titillium Web"/>
        </w:rPr>
        <w:t>y</w:t>
      </w:r>
      <w:r w:rsidRPr="00413F0F">
        <w:rPr>
          <w:rFonts w:ascii="Titillium Web" w:hAnsi="Titillium Web"/>
        </w:rPr>
        <w:t xml:space="preserve"> prawo do prowadzenia działalności gospodarczej w zakresie organizacji kongresów i konferencji;</w:t>
      </w:r>
    </w:p>
    <w:p w14:paraId="03C562B8" w14:textId="6340434E" w:rsidR="00882051" w:rsidRPr="00413F0F" w:rsidRDefault="00C72710" w:rsidP="00CA09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wypełnić wniosek</w:t>
      </w:r>
      <w:r w:rsidR="004A5CE6" w:rsidRPr="00413F0F">
        <w:rPr>
          <w:rFonts w:ascii="Titillium Web" w:hAnsi="Titillium Web"/>
        </w:rPr>
        <w:t xml:space="preserve"> o rekomenda</w:t>
      </w:r>
      <w:r w:rsidR="00791FFD" w:rsidRPr="00413F0F">
        <w:rPr>
          <w:rFonts w:ascii="Titillium Web" w:hAnsi="Titillium Web"/>
        </w:rPr>
        <w:t>cję (załącznik nr 1), dostępny</w:t>
      </w:r>
      <w:r w:rsidR="004A5CE6" w:rsidRPr="00413F0F">
        <w:rPr>
          <w:rFonts w:ascii="Titillium Web" w:hAnsi="Titillium Web"/>
        </w:rPr>
        <w:t xml:space="preserve"> na stronie</w:t>
      </w:r>
      <w:r w:rsidR="00D525E0" w:rsidRPr="00413F0F">
        <w:rPr>
          <w:rFonts w:ascii="Titillium Web" w:hAnsi="Titillium Web"/>
        </w:rPr>
        <w:t xml:space="preserve"> </w:t>
      </w:r>
      <w:hyperlink r:id="rId5" w:history="1">
        <w:r w:rsidR="00516EB8" w:rsidRPr="00356F8A">
          <w:rPr>
            <w:rStyle w:val="Hipercze"/>
            <w:rFonts w:ascii="Titillium Web" w:hAnsi="Titillium Web"/>
          </w:rPr>
          <w:t>www.mazoviaconvention.pl</w:t>
        </w:r>
      </w:hyperlink>
      <w:r w:rsidR="00D525E0" w:rsidRPr="00413F0F">
        <w:rPr>
          <w:rFonts w:ascii="Titillium Web" w:hAnsi="Titillium Web"/>
        </w:rPr>
        <w:t xml:space="preserve"> </w:t>
      </w:r>
    </w:p>
    <w:p w14:paraId="6FDE8CCF" w14:textId="4E9FC9E5" w:rsidR="00882051" w:rsidRPr="00413F0F" w:rsidRDefault="23D2293D" w:rsidP="00CA09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przedstawić wykaz</w:t>
      </w:r>
      <w:r w:rsidR="0053302D" w:rsidRPr="00413F0F">
        <w:rPr>
          <w:rFonts w:ascii="Titillium Web" w:hAnsi="Titillium Web"/>
        </w:rPr>
        <w:t xml:space="preserve"> (załącznik nr 2)</w:t>
      </w:r>
      <w:r w:rsidRPr="00413F0F">
        <w:rPr>
          <w:rFonts w:ascii="Titillium Web" w:hAnsi="Titillium Web"/>
        </w:rPr>
        <w:t xml:space="preserve"> 5 zorganizowanych wydarzeń w formie stacjonarnej w województwie mazowieckim</w:t>
      </w:r>
      <w:r w:rsidR="00516EB8">
        <w:rPr>
          <w:rFonts w:ascii="Titillium Web" w:hAnsi="Titillium Web"/>
        </w:rPr>
        <w:t>,</w:t>
      </w:r>
      <w:r w:rsidRPr="00413F0F">
        <w:rPr>
          <w:rFonts w:ascii="Titillium Web" w:hAnsi="Titillium Web"/>
        </w:rPr>
        <w:t xml:space="preserve"> w tym 1 dla co najmniej 250 uczestników i 4 dla co najmniej </w:t>
      </w:r>
      <w:r w:rsidR="00210C47" w:rsidRPr="00413F0F">
        <w:rPr>
          <w:rFonts w:ascii="Titillium Web" w:hAnsi="Titillium Web"/>
        </w:rPr>
        <w:t>50</w:t>
      </w:r>
      <w:r w:rsidRPr="00413F0F">
        <w:rPr>
          <w:rFonts w:ascii="Titillium Web" w:hAnsi="Titillium Web"/>
        </w:rPr>
        <w:t xml:space="preserve"> uczestników;</w:t>
      </w:r>
    </w:p>
    <w:p w14:paraId="6B18AB72" w14:textId="3001324C" w:rsidR="00882051" w:rsidRPr="00413F0F" w:rsidRDefault="002A3168" w:rsidP="00CA09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przedstawić </w:t>
      </w:r>
      <w:r w:rsidR="00D52068" w:rsidRPr="00413F0F">
        <w:rPr>
          <w:rFonts w:ascii="Titillium Web" w:hAnsi="Titillium Web"/>
        </w:rPr>
        <w:t>referencje od minimum 3 podmiotów</w:t>
      </w:r>
      <w:r w:rsidR="004A5CE6" w:rsidRPr="00413F0F">
        <w:rPr>
          <w:rFonts w:ascii="Titillium Web" w:hAnsi="Titillium Web"/>
        </w:rPr>
        <w:t>, będących zleceniodawcami</w:t>
      </w:r>
      <w:r w:rsidR="006B38D7" w:rsidRPr="00413F0F">
        <w:rPr>
          <w:rFonts w:ascii="Titillium Web" w:hAnsi="Titillium Web"/>
        </w:rPr>
        <w:t xml:space="preserve">, poświadczające organizację wydarzenia; </w:t>
      </w:r>
    </w:p>
    <w:p w14:paraId="501D9FBD" w14:textId="1D489FFF" w:rsidR="00D52068" w:rsidRPr="00413F0F" w:rsidRDefault="006B38D7" w:rsidP="00CA09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przedstawić</w:t>
      </w:r>
      <w:r w:rsidR="00D52068" w:rsidRPr="00413F0F">
        <w:rPr>
          <w:rFonts w:ascii="Titillium Web" w:hAnsi="Titillium Web"/>
        </w:rPr>
        <w:t xml:space="preserve"> ofert</w:t>
      </w:r>
      <w:r w:rsidR="0053302D" w:rsidRPr="00413F0F">
        <w:rPr>
          <w:rFonts w:ascii="Titillium Web" w:hAnsi="Titillium Web"/>
        </w:rPr>
        <w:t>ę</w:t>
      </w:r>
      <w:r w:rsidR="00D52068" w:rsidRPr="00413F0F">
        <w:rPr>
          <w:rFonts w:ascii="Titillium Web" w:hAnsi="Titillium Web"/>
        </w:rPr>
        <w:t xml:space="preserve"> firmy w formie </w:t>
      </w:r>
      <w:r w:rsidR="004A5CE6" w:rsidRPr="00413F0F">
        <w:rPr>
          <w:rFonts w:ascii="Titillium Web" w:hAnsi="Titillium Web"/>
        </w:rPr>
        <w:t>prezentacji multi</w:t>
      </w:r>
      <w:r w:rsidRPr="00413F0F">
        <w:rPr>
          <w:rFonts w:ascii="Titillium Web" w:hAnsi="Titillium Web"/>
        </w:rPr>
        <w:t xml:space="preserve">medialnej, bądź oferty w pliku </w:t>
      </w:r>
      <w:r w:rsidR="004A5CE6" w:rsidRPr="00413F0F">
        <w:rPr>
          <w:rFonts w:ascii="Titillium Web" w:hAnsi="Titillium Web"/>
        </w:rPr>
        <w:t>PDF</w:t>
      </w:r>
      <w:r w:rsidR="00100B60" w:rsidRPr="00413F0F">
        <w:rPr>
          <w:rFonts w:ascii="Titillium Web" w:hAnsi="Titillium Web"/>
        </w:rPr>
        <w:t>.</w:t>
      </w:r>
      <w:r w:rsidR="00D52068" w:rsidRPr="00413F0F">
        <w:rPr>
          <w:rFonts w:ascii="Titillium Web" w:hAnsi="Titillium Web"/>
        </w:rPr>
        <w:br/>
      </w:r>
    </w:p>
    <w:p w14:paraId="5A935B70" w14:textId="77777777" w:rsidR="004A5CE6" w:rsidRPr="00413F0F" w:rsidRDefault="004A5CE6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-3-</w:t>
      </w:r>
    </w:p>
    <w:p w14:paraId="3B74790D" w14:textId="740C1FD6" w:rsidR="005C3E7B" w:rsidRPr="00413F0F" w:rsidRDefault="005C3E7B" w:rsidP="00CA098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Prawidłowo wypełniony </w:t>
      </w:r>
      <w:r w:rsidR="004A5CE6" w:rsidRPr="00413F0F">
        <w:rPr>
          <w:rFonts w:ascii="Titillium Web" w:hAnsi="Titillium Web"/>
        </w:rPr>
        <w:t xml:space="preserve">Wniosek </w:t>
      </w:r>
      <w:r w:rsidRPr="00413F0F">
        <w:rPr>
          <w:rFonts w:ascii="Titillium Web" w:hAnsi="Titillium Web"/>
        </w:rPr>
        <w:t xml:space="preserve">wraz z wymaganymi załącznikami </w:t>
      </w:r>
      <w:r w:rsidR="004A5CE6" w:rsidRPr="00413F0F">
        <w:rPr>
          <w:rFonts w:ascii="Titillium Web" w:hAnsi="Titillium Web"/>
        </w:rPr>
        <w:t xml:space="preserve">zostanie rozpatrzony w terminie 30 dni od daty </w:t>
      </w:r>
      <w:r w:rsidRPr="00413F0F">
        <w:rPr>
          <w:rFonts w:ascii="Titillium Web" w:hAnsi="Titillium Web"/>
        </w:rPr>
        <w:t>złożenia</w:t>
      </w:r>
      <w:r w:rsidR="004A5CE6" w:rsidRPr="00413F0F">
        <w:rPr>
          <w:rFonts w:ascii="Titillium Web" w:hAnsi="Titillium Web"/>
        </w:rPr>
        <w:t xml:space="preserve">. </w:t>
      </w:r>
    </w:p>
    <w:p w14:paraId="458DFBCE" w14:textId="29E7BC29" w:rsidR="00CF44CC" w:rsidRDefault="004A5CE6" w:rsidP="00CA098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Rekomendacja zostaje przyznana na okres dwóch lat</w:t>
      </w:r>
      <w:r w:rsidR="00537C89" w:rsidRPr="00413F0F">
        <w:rPr>
          <w:rFonts w:ascii="Titillium Web" w:hAnsi="Titillium Web"/>
        </w:rPr>
        <w:t xml:space="preserve"> </w:t>
      </w:r>
      <w:r w:rsidR="00EE67E8" w:rsidRPr="00413F0F">
        <w:rPr>
          <w:rFonts w:ascii="Titillium Web" w:hAnsi="Titillium Web"/>
        </w:rPr>
        <w:t>począwszy od 1 stycznia kolejnego roku kalendarzowego</w:t>
      </w:r>
      <w:r w:rsidRPr="00413F0F">
        <w:rPr>
          <w:rFonts w:ascii="Titillium Web" w:hAnsi="Titillium Web"/>
        </w:rPr>
        <w:t xml:space="preserve">. </w:t>
      </w:r>
      <w:r w:rsidR="00537C89" w:rsidRPr="00413F0F">
        <w:rPr>
          <w:rFonts w:ascii="Titillium Web" w:hAnsi="Titillium Web"/>
        </w:rPr>
        <w:t xml:space="preserve">Informacja o przyznanej rekomendacji ukaże się na profilach </w:t>
      </w:r>
      <w:proofErr w:type="spellStart"/>
      <w:r w:rsidR="00537C89" w:rsidRPr="00413F0F">
        <w:rPr>
          <w:rFonts w:ascii="Titillium Web" w:hAnsi="Titillium Web"/>
        </w:rPr>
        <w:t>Mazovia</w:t>
      </w:r>
      <w:proofErr w:type="spellEnd"/>
      <w:r w:rsidR="00537C89" w:rsidRPr="00413F0F">
        <w:rPr>
          <w:rFonts w:ascii="Titillium Web" w:hAnsi="Titillium Web"/>
        </w:rPr>
        <w:t xml:space="preserve"> </w:t>
      </w:r>
      <w:proofErr w:type="spellStart"/>
      <w:r w:rsidR="00537C89" w:rsidRPr="00413F0F">
        <w:rPr>
          <w:rFonts w:ascii="Titillium Web" w:hAnsi="Titillium Web"/>
        </w:rPr>
        <w:t>Convention</w:t>
      </w:r>
      <w:proofErr w:type="spellEnd"/>
      <w:r w:rsidR="00537C89" w:rsidRPr="00413F0F">
        <w:rPr>
          <w:rFonts w:ascii="Titillium Web" w:hAnsi="Titillium Web"/>
        </w:rPr>
        <w:t xml:space="preserve"> </w:t>
      </w:r>
      <w:proofErr w:type="spellStart"/>
      <w:r w:rsidR="00537C89" w:rsidRPr="00413F0F">
        <w:rPr>
          <w:rFonts w:ascii="Titillium Web" w:hAnsi="Titillium Web"/>
        </w:rPr>
        <w:t>Bureau</w:t>
      </w:r>
      <w:proofErr w:type="spellEnd"/>
      <w:r w:rsidR="00537C89" w:rsidRPr="00413F0F">
        <w:rPr>
          <w:rFonts w:ascii="Titillium Web" w:hAnsi="Titillium Web"/>
        </w:rPr>
        <w:t xml:space="preserve"> na portalach Facebook i LinkedIn oraz na stronie</w:t>
      </w:r>
      <w:r w:rsidR="001B7D54">
        <w:rPr>
          <w:rFonts w:ascii="Titillium Web" w:hAnsi="Titillium Web"/>
        </w:rPr>
        <w:t xml:space="preserve"> </w:t>
      </w:r>
      <w:hyperlink r:id="rId6" w:history="1">
        <w:r w:rsidR="001B7D54" w:rsidRPr="00356F8A">
          <w:rPr>
            <w:rStyle w:val="Hipercze"/>
            <w:rFonts w:ascii="Titillium Web" w:hAnsi="Titillium Web"/>
          </w:rPr>
          <w:t>www.mazoviaconvention.pl</w:t>
        </w:r>
      </w:hyperlink>
      <w:r w:rsidR="001B7D54">
        <w:rPr>
          <w:rFonts w:ascii="Titillium Web" w:hAnsi="Titillium Web"/>
        </w:rPr>
        <w:t xml:space="preserve">. </w:t>
      </w:r>
    </w:p>
    <w:p w14:paraId="7414726A" w14:textId="77777777" w:rsidR="00CA0983" w:rsidRPr="00CA0983" w:rsidRDefault="00CA0983" w:rsidP="00CA0983">
      <w:pPr>
        <w:pStyle w:val="Akapitzlist"/>
        <w:spacing w:after="0"/>
        <w:ind w:left="426"/>
        <w:jc w:val="both"/>
        <w:rPr>
          <w:rFonts w:ascii="Titillium Web" w:hAnsi="Titillium Web"/>
        </w:rPr>
      </w:pPr>
    </w:p>
    <w:p w14:paraId="239F2A3D" w14:textId="7DE86366" w:rsidR="00537C89" w:rsidRPr="00413F0F" w:rsidRDefault="00537C89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lastRenderedPageBreak/>
        <w:t>-4-</w:t>
      </w:r>
    </w:p>
    <w:p w14:paraId="08E48D35" w14:textId="39833B03" w:rsidR="00882051" w:rsidRPr="00413F0F" w:rsidRDefault="00537C89" w:rsidP="00CA0983">
      <w:p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Pr="00413F0F">
        <w:rPr>
          <w:rFonts w:ascii="Titillium Web" w:hAnsi="Titillium Web"/>
        </w:rPr>
        <w:t xml:space="preserve"> zobowiązuje się </w:t>
      </w:r>
      <w:r w:rsidR="005C3E7B" w:rsidRPr="00413F0F">
        <w:rPr>
          <w:rFonts w:ascii="Titillium Web" w:hAnsi="Titillium Web"/>
        </w:rPr>
        <w:t xml:space="preserve">współpracować </w:t>
      </w:r>
      <w:r w:rsidRPr="00413F0F">
        <w:rPr>
          <w:rFonts w:ascii="Titillium Web" w:hAnsi="Titillium Web"/>
        </w:rPr>
        <w:t xml:space="preserve">z rekomendowanymi PCO przy organizacji spotkań w województwie mazowieckim w </w:t>
      </w:r>
      <w:r w:rsidR="005C3E7B" w:rsidRPr="00413F0F">
        <w:rPr>
          <w:rFonts w:ascii="Titillium Web" w:hAnsi="Titillium Web"/>
        </w:rPr>
        <w:t>następującym zakresie</w:t>
      </w:r>
      <w:r w:rsidRPr="00413F0F">
        <w:rPr>
          <w:rFonts w:ascii="Titillium Web" w:hAnsi="Titillium Web"/>
        </w:rPr>
        <w:t>:</w:t>
      </w:r>
    </w:p>
    <w:p w14:paraId="48CD0B17" w14:textId="4934FFBE" w:rsidR="00882051" w:rsidRPr="00413F0F" w:rsidRDefault="00537C89" w:rsidP="00CA09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polecenie rekomendowanego PCO przez </w:t>
      </w: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Pr="00413F0F">
        <w:rPr>
          <w:rFonts w:ascii="Titillium Web" w:hAnsi="Titillium Web"/>
        </w:rPr>
        <w:t xml:space="preserve"> do programu rekomendacji Profesjonalnych Organizatorów Kongresów udzielanej przez Polską Organizację Turystyczną –  Poland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Pr="00413F0F">
        <w:rPr>
          <w:rFonts w:ascii="Titillium Web" w:hAnsi="Titillium Web"/>
        </w:rPr>
        <w:t>;</w:t>
      </w:r>
    </w:p>
    <w:p w14:paraId="2A695E7B" w14:textId="1143F50B" w:rsidR="00882051" w:rsidRPr="00413F0F" w:rsidRDefault="00537C89" w:rsidP="00CA09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prezentacja oferty rekomendowanego PCO na stronach i profilach administrowanych przez </w:t>
      </w: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="00882051" w:rsidRPr="00413F0F">
        <w:rPr>
          <w:rFonts w:ascii="Titillium Web" w:hAnsi="Titillium Web"/>
        </w:rPr>
        <w:t>;</w:t>
      </w:r>
    </w:p>
    <w:p w14:paraId="16A2265B" w14:textId="4AB47185" w:rsidR="00537C89" w:rsidRPr="00413F0F" w:rsidRDefault="00537C89" w:rsidP="00CA09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prezentacja oferty rekomendowanego PCO w materiałach promocyjnych redagowanych przez </w:t>
      </w: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="005F68EA" w:rsidRPr="00413F0F">
        <w:rPr>
          <w:rFonts w:ascii="Titillium Web" w:hAnsi="Titillium Web"/>
        </w:rPr>
        <w:t xml:space="preserve">; </w:t>
      </w:r>
    </w:p>
    <w:p w14:paraId="02B3C679" w14:textId="50B52B65" w:rsidR="005F68EA" w:rsidRPr="00516EB8" w:rsidRDefault="007D4B58" w:rsidP="00CA09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  <w:r w:rsidRPr="00516EB8">
        <w:rPr>
          <w:rFonts w:ascii="Titillium Web" w:hAnsi="Titillium Web"/>
        </w:rPr>
        <w:t xml:space="preserve">promocja rekomendowanych PCO podczas imprez targowych i promocyjnych, w których uczestniczy </w:t>
      </w:r>
      <w:proofErr w:type="spellStart"/>
      <w:r w:rsidRPr="00516EB8">
        <w:rPr>
          <w:rFonts w:ascii="Titillium Web" w:hAnsi="Titillium Web"/>
        </w:rPr>
        <w:t>Mazovia</w:t>
      </w:r>
      <w:proofErr w:type="spellEnd"/>
      <w:r w:rsidRPr="00516EB8">
        <w:rPr>
          <w:rFonts w:ascii="Titillium Web" w:hAnsi="Titillium Web"/>
        </w:rPr>
        <w:t xml:space="preserve"> </w:t>
      </w:r>
      <w:proofErr w:type="spellStart"/>
      <w:r w:rsidRPr="00516EB8">
        <w:rPr>
          <w:rFonts w:ascii="Titillium Web" w:hAnsi="Titillium Web"/>
        </w:rPr>
        <w:t>Convention</w:t>
      </w:r>
      <w:proofErr w:type="spellEnd"/>
      <w:r w:rsidRPr="00516EB8">
        <w:rPr>
          <w:rFonts w:ascii="Titillium Web" w:hAnsi="Titillium Web"/>
        </w:rPr>
        <w:t xml:space="preserve"> </w:t>
      </w:r>
      <w:proofErr w:type="spellStart"/>
      <w:r w:rsidRPr="00516EB8">
        <w:rPr>
          <w:rFonts w:ascii="Titillium Web" w:hAnsi="Titillium Web"/>
        </w:rPr>
        <w:t>Bureau</w:t>
      </w:r>
      <w:proofErr w:type="spellEnd"/>
      <w:r w:rsidRPr="00516EB8">
        <w:rPr>
          <w:rFonts w:ascii="Titillium Web" w:hAnsi="Titillium Web"/>
        </w:rPr>
        <w:t xml:space="preserve">. </w:t>
      </w:r>
    </w:p>
    <w:p w14:paraId="41C8F396" w14:textId="77777777" w:rsidR="00537C89" w:rsidRPr="00413F0F" w:rsidRDefault="00537C89" w:rsidP="00CA0983">
      <w:pPr>
        <w:autoSpaceDE w:val="0"/>
        <w:autoSpaceDN w:val="0"/>
        <w:adjustRightInd w:val="0"/>
        <w:spacing w:after="0"/>
        <w:jc w:val="both"/>
        <w:rPr>
          <w:rFonts w:ascii="Titillium Web" w:hAnsi="Titillium Web"/>
        </w:rPr>
      </w:pPr>
    </w:p>
    <w:p w14:paraId="63A990E8" w14:textId="77777777" w:rsidR="00537C89" w:rsidRPr="00413F0F" w:rsidRDefault="00537C89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-5-</w:t>
      </w:r>
    </w:p>
    <w:p w14:paraId="72A3D3EC" w14:textId="3A2A27BF" w:rsidR="00DF5FC3" w:rsidRPr="00413F0F" w:rsidRDefault="00DF5FC3" w:rsidP="00CA0983">
      <w:pPr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Rekomendowani </w:t>
      </w:r>
      <w:r w:rsidR="005C3E7B" w:rsidRPr="00413F0F">
        <w:rPr>
          <w:rFonts w:ascii="Titillium Web" w:hAnsi="Titillium Web"/>
        </w:rPr>
        <w:t>PCO zobowiązani są</w:t>
      </w:r>
      <w:r w:rsidRPr="00413F0F">
        <w:rPr>
          <w:rFonts w:ascii="Titillium Web" w:hAnsi="Titillium Web"/>
        </w:rPr>
        <w:t xml:space="preserve"> do przekazania danych (w terminie do 20 stycznia następnego roku kalendarzowego) dotyczących zorganizowanych spotkań oraz planowanych wydarzeń </w:t>
      </w:r>
      <w:r w:rsidR="00100B60" w:rsidRPr="00413F0F">
        <w:rPr>
          <w:rFonts w:ascii="Titillium Web" w:hAnsi="Titillium Web"/>
        </w:rPr>
        <w:t xml:space="preserve">na kolejny rok (załącznik nr </w:t>
      </w:r>
      <w:r w:rsidR="0053302D" w:rsidRPr="00413F0F">
        <w:rPr>
          <w:rFonts w:ascii="Titillium Web" w:hAnsi="Titillium Web"/>
        </w:rPr>
        <w:t>3</w:t>
      </w:r>
      <w:r w:rsidR="00100B60" w:rsidRPr="00413F0F">
        <w:rPr>
          <w:rFonts w:ascii="Titillium Web" w:hAnsi="Titillium Web"/>
        </w:rPr>
        <w:t>)</w:t>
      </w:r>
      <w:r w:rsidRPr="00413F0F">
        <w:rPr>
          <w:rFonts w:ascii="Titillium Web" w:hAnsi="Titillium Web"/>
        </w:rPr>
        <w:t>. Dane powinny zawierać informacje o planowanej liczbie uczestników</w:t>
      </w:r>
      <w:r w:rsidR="00933DE4" w:rsidRPr="00413F0F">
        <w:rPr>
          <w:rFonts w:ascii="Titillium Web" w:hAnsi="Titillium Web"/>
        </w:rPr>
        <w:t>, miejscu wydarzenia, branży organizującej wydarzenie</w:t>
      </w:r>
      <w:r w:rsidRPr="00413F0F">
        <w:rPr>
          <w:rFonts w:ascii="Titillium Web" w:hAnsi="Titillium Web"/>
        </w:rPr>
        <w:t xml:space="preserve"> oraz </w:t>
      </w:r>
      <w:r w:rsidR="00A55A27" w:rsidRPr="00516EB8">
        <w:rPr>
          <w:rFonts w:ascii="Titillium Web" w:hAnsi="Titillium Web"/>
        </w:rPr>
        <w:t>ramowym</w:t>
      </w:r>
      <w:r w:rsidR="00A55A27" w:rsidRPr="00413F0F">
        <w:rPr>
          <w:rFonts w:ascii="Titillium Web" w:hAnsi="Titillium Web"/>
          <w:color w:val="EE0000"/>
        </w:rPr>
        <w:t xml:space="preserve"> </w:t>
      </w:r>
      <w:r w:rsidRPr="00413F0F">
        <w:rPr>
          <w:rFonts w:ascii="Titillium Web" w:hAnsi="Titillium Web"/>
        </w:rPr>
        <w:t xml:space="preserve">programie. Dane przekazywane do MCB będą traktowane jako poufne i posłużą do </w:t>
      </w:r>
      <w:r w:rsidR="005C3E7B" w:rsidRPr="00413F0F">
        <w:rPr>
          <w:rFonts w:ascii="Titillium Web" w:hAnsi="Titillium Web"/>
        </w:rPr>
        <w:t xml:space="preserve">przygotowania </w:t>
      </w:r>
      <w:r w:rsidRPr="00413F0F">
        <w:rPr>
          <w:rFonts w:ascii="Titillium Web" w:hAnsi="Titillium Web"/>
        </w:rPr>
        <w:t xml:space="preserve">statystyki </w:t>
      </w:r>
      <w:r w:rsidR="002F0F6B" w:rsidRPr="00516EB8">
        <w:rPr>
          <w:rFonts w:ascii="Titillium Web" w:hAnsi="Titillium Web"/>
        </w:rPr>
        <w:t xml:space="preserve">wydarzeń </w:t>
      </w:r>
      <w:r w:rsidRPr="00413F0F">
        <w:rPr>
          <w:rFonts w:ascii="Titillium Web" w:hAnsi="Titillium Web"/>
        </w:rPr>
        <w:t>organizowanych w województwie mazowieckim.</w:t>
      </w:r>
    </w:p>
    <w:p w14:paraId="53C029CC" w14:textId="77777777" w:rsidR="00CA0983" w:rsidRDefault="00CA0983" w:rsidP="00CA0983">
      <w:pPr>
        <w:spacing w:after="0"/>
        <w:jc w:val="center"/>
        <w:rPr>
          <w:rFonts w:ascii="Titillium Web" w:hAnsi="Titillium Web"/>
          <w:b/>
        </w:rPr>
      </w:pPr>
    </w:p>
    <w:p w14:paraId="6A106140" w14:textId="5C8E2221" w:rsidR="00DF5FC3" w:rsidRPr="00413F0F" w:rsidRDefault="00DF5FC3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-6-</w:t>
      </w:r>
    </w:p>
    <w:p w14:paraId="78F70135" w14:textId="77777777" w:rsidR="00DF5FC3" w:rsidRPr="00413F0F" w:rsidRDefault="00DF5FC3" w:rsidP="00CA0983">
      <w:pPr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Rekomendacja podlega cofnięciu w razie wystąpienia jednego z niżej wymienionych przypadków: </w:t>
      </w:r>
    </w:p>
    <w:p w14:paraId="65D13B76" w14:textId="2EA033C3" w:rsidR="00882051" w:rsidRPr="00413F0F" w:rsidRDefault="00DF5FC3" w:rsidP="00CA09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ogłoszenie upadłości podmiotu;</w:t>
      </w:r>
    </w:p>
    <w:p w14:paraId="24C682FA" w14:textId="2955102D" w:rsidR="00882051" w:rsidRPr="00413F0F" w:rsidRDefault="00DF5FC3" w:rsidP="00CA09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zaprzestani</w:t>
      </w:r>
      <w:r w:rsidR="005C3E7B" w:rsidRPr="00413F0F">
        <w:rPr>
          <w:rFonts w:ascii="Titillium Web" w:hAnsi="Titillium Web"/>
        </w:rPr>
        <w:t>e</w:t>
      </w:r>
      <w:r w:rsidRPr="00413F0F">
        <w:rPr>
          <w:rFonts w:ascii="Titillium Web" w:hAnsi="Titillium Web"/>
        </w:rPr>
        <w:t xml:space="preserve"> działalności w zakresie organizacji </w:t>
      </w:r>
      <w:r w:rsidR="002F0F6B" w:rsidRPr="00516EB8">
        <w:rPr>
          <w:rFonts w:ascii="Titillium Web" w:hAnsi="Titillium Web"/>
        </w:rPr>
        <w:t>wydarzeń</w:t>
      </w:r>
      <w:r w:rsidRPr="00516EB8">
        <w:rPr>
          <w:rFonts w:ascii="Titillium Web" w:hAnsi="Titillium Web"/>
        </w:rPr>
        <w:t>;</w:t>
      </w:r>
    </w:p>
    <w:p w14:paraId="668CE2DC" w14:textId="70D170CF" w:rsidR="00882051" w:rsidRPr="00413F0F" w:rsidRDefault="00DF5FC3" w:rsidP="00CA09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wniosku zainteresowanego o usunięcie z listy rekomendowanych podmiotów;</w:t>
      </w:r>
    </w:p>
    <w:p w14:paraId="358C15D8" w14:textId="66716DD6" w:rsidR="00882051" w:rsidRPr="00413F0F" w:rsidRDefault="00253D09" w:rsidP="00CA09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objęcie zakazem wykonywania działalności organizatora turystyki lub przedsiębiorcy ułatwiającego nabywanie powiązanych usług turystycznych;</w:t>
      </w:r>
    </w:p>
    <w:p w14:paraId="0D0B940D" w14:textId="658BEB3D" w:rsidR="00933DE4" w:rsidRPr="00CA0983" w:rsidRDefault="00DF5FC3" w:rsidP="00CA09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>niedostarczenia w terminie przewidzianym w punkcie 5 Regulaminu</w:t>
      </w:r>
      <w:r w:rsidR="00253D09" w:rsidRPr="00413F0F">
        <w:rPr>
          <w:rFonts w:ascii="Titillium Web" w:hAnsi="Titillium Web"/>
        </w:rPr>
        <w:t>,</w:t>
      </w:r>
      <w:r w:rsidRPr="00413F0F">
        <w:rPr>
          <w:rFonts w:ascii="Titillium Web" w:hAnsi="Titillium Web"/>
        </w:rPr>
        <w:t xml:space="preserve"> danych statystycznych do </w:t>
      </w:r>
      <w:proofErr w:type="spellStart"/>
      <w:r w:rsidRPr="00413F0F">
        <w:rPr>
          <w:rFonts w:ascii="Titillium Web" w:hAnsi="Titillium Web"/>
        </w:rPr>
        <w:t>Mazovia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Convention</w:t>
      </w:r>
      <w:proofErr w:type="spellEnd"/>
      <w:r w:rsidRPr="00413F0F">
        <w:rPr>
          <w:rFonts w:ascii="Titillium Web" w:hAnsi="Titillium Web"/>
        </w:rPr>
        <w:t xml:space="preserve"> </w:t>
      </w:r>
      <w:proofErr w:type="spellStart"/>
      <w:r w:rsidRPr="00413F0F">
        <w:rPr>
          <w:rFonts w:ascii="Titillium Web" w:hAnsi="Titillium Web"/>
        </w:rPr>
        <w:t>Bureau</w:t>
      </w:r>
      <w:proofErr w:type="spellEnd"/>
      <w:r w:rsidR="00253D09" w:rsidRPr="00413F0F">
        <w:rPr>
          <w:rFonts w:ascii="Titillium Web" w:hAnsi="Titillium Web"/>
        </w:rPr>
        <w:t>.</w:t>
      </w:r>
    </w:p>
    <w:p w14:paraId="255FB089" w14:textId="77777777" w:rsidR="00CA0983" w:rsidRDefault="00CA0983" w:rsidP="00CA0983">
      <w:pPr>
        <w:spacing w:after="0"/>
        <w:jc w:val="center"/>
        <w:rPr>
          <w:rFonts w:ascii="Titillium Web" w:hAnsi="Titillium Web"/>
          <w:b/>
        </w:rPr>
      </w:pPr>
    </w:p>
    <w:p w14:paraId="769154F3" w14:textId="0E1060D6" w:rsidR="00933DE4" w:rsidRPr="00413F0F" w:rsidRDefault="00933DE4" w:rsidP="00CA0983">
      <w:pPr>
        <w:spacing w:after="0"/>
        <w:jc w:val="center"/>
        <w:rPr>
          <w:rFonts w:ascii="Titillium Web" w:hAnsi="Titillium Web"/>
          <w:b/>
        </w:rPr>
      </w:pPr>
      <w:r w:rsidRPr="00413F0F">
        <w:rPr>
          <w:rFonts w:ascii="Titillium Web" w:hAnsi="Titillium Web"/>
          <w:b/>
        </w:rPr>
        <w:t>-7-</w:t>
      </w:r>
    </w:p>
    <w:p w14:paraId="5F023706" w14:textId="206F51D5" w:rsidR="00933DE4" w:rsidRPr="00413F0F" w:rsidRDefault="00933DE4" w:rsidP="00CA0983">
      <w:pPr>
        <w:spacing w:after="0"/>
        <w:jc w:val="both"/>
        <w:rPr>
          <w:rFonts w:ascii="Titillium Web" w:hAnsi="Titillium Web"/>
        </w:rPr>
      </w:pPr>
      <w:r w:rsidRPr="00413F0F">
        <w:rPr>
          <w:rFonts w:ascii="Titillium Web" w:hAnsi="Titillium Web"/>
        </w:rPr>
        <w:t xml:space="preserve">Przedłużenie okresu ważności rekomendacji </w:t>
      </w:r>
      <w:r w:rsidR="00253D09" w:rsidRPr="00413F0F">
        <w:rPr>
          <w:rFonts w:ascii="Titillium Web" w:hAnsi="Titillium Web"/>
        </w:rPr>
        <w:t xml:space="preserve">PCO </w:t>
      </w:r>
      <w:r w:rsidRPr="00413F0F">
        <w:rPr>
          <w:rFonts w:ascii="Titillium Web" w:hAnsi="Titillium Web"/>
        </w:rPr>
        <w:t>wymaga ponownego zastosowania procedury opisanej w Regulaminie.</w:t>
      </w:r>
    </w:p>
    <w:p w14:paraId="0E27B00A" w14:textId="77777777" w:rsidR="00933DE4" w:rsidRPr="00413F0F" w:rsidRDefault="00933DE4" w:rsidP="00882051">
      <w:pPr>
        <w:jc w:val="both"/>
        <w:rPr>
          <w:rFonts w:ascii="Titillium Web" w:hAnsi="Titillium Web"/>
        </w:rPr>
      </w:pPr>
    </w:p>
    <w:p w14:paraId="60061E4C" w14:textId="77777777" w:rsidR="00482FEB" w:rsidRPr="00413F0F" w:rsidRDefault="00482FEB" w:rsidP="00482FEB">
      <w:pPr>
        <w:rPr>
          <w:rFonts w:ascii="Titillium Web" w:hAnsi="Titillium Web"/>
          <w:b/>
        </w:rPr>
      </w:pPr>
    </w:p>
    <w:sectPr w:rsidR="00482FEB" w:rsidRPr="0041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8D"/>
    <w:multiLevelType w:val="hybridMultilevel"/>
    <w:tmpl w:val="DD443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5CB"/>
    <w:multiLevelType w:val="hybridMultilevel"/>
    <w:tmpl w:val="134C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FDB"/>
    <w:multiLevelType w:val="hybridMultilevel"/>
    <w:tmpl w:val="B328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60FB"/>
    <w:multiLevelType w:val="hybridMultilevel"/>
    <w:tmpl w:val="ABCE73B8"/>
    <w:lvl w:ilvl="0" w:tplc="261682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59A"/>
    <w:multiLevelType w:val="hybridMultilevel"/>
    <w:tmpl w:val="BDE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7E62C4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672A"/>
    <w:multiLevelType w:val="hybridMultilevel"/>
    <w:tmpl w:val="1A906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322A"/>
    <w:multiLevelType w:val="hybridMultilevel"/>
    <w:tmpl w:val="5F06E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664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106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560159">
    <w:abstractNumId w:val="3"/>
  </w:num>
  <w:num w:numId="4" w16cid:durableId="510603668">
    <w:abstractNumId w:val="2"/>
  </w:num>
  <w:num w:numId="5" w16cid:durableId="986279422">
    <w:abstractNumId w:val="6"/>
  </w:num>
  <w:num w:numId="6" w16cid:durableId="1437021306">
    <w:abstractNumId w:val="1"/>
  </w:num>
  <w:num w:numId="7" w16cid:durableId="1661231301">
    <w:abstractNumId w:val="0"/>
  </w:num>
  <w:num w:numId="8" w16cid:durableId="159042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B"/>
    <w:rsid w:val="000B43E0"/>
    <w:rsid w:val="00100B60"/>
    <w:rsid w:val="001B6E72"/>
    <w:rsid w:val="001B7D54"/>
    <w:rsid w:val="00210C47"/>
    <w:rsid w:val="002409A3"/>
    <w:rsid w:val="00253D09"/>
    <w:rsid w:val="002A3168"/>
    <w:rsid w:val="002F0F6B"/>
    <w:rsid w:val="0032641C"/>
    <w:rsid w:val="003268F5"/>
    <w:rsid w:val="0037384C"/>
    <w:rsid w:val="00400C36"/>
    <w:rsid w:val="00406EB3"/>
    <w:rsid w:val="00412959"/>
    <w:rsid w:val="00413F0F"/>
    <w:rsid w:val="00482FEB"/>
    <w:rsid w:val="004A5CE6"/>
    <w:rsid w:val="004C5DAF"/>
    <w:rsid w:val="00516EB8"/>
    <w:rsid w:val="0053302D"/>
    <w:rsid w:val="00537C89"/>
    <w:rsid w:val="005A6E19"/>
    <w:rsid w:val="005B5E4B"/>
    <w:rsid w:val="005C3E7B"/>
    <w:rsid w:val="005E18BD"/>
    <w:rsid w:val="005F68EA"/>
    <w:rsid w:val="00670ACF"/>
    <w:rsid w:val="006B38D7"/>
    <w:rsid w:val="007053B0"/>
    <w:rsid w:val="00767809"/>
    <w:rsid w:val="00791FFD"/>
    <w:rsid w:val="007C4E80"/>
    <w:rsid w:val="007D4B58"/>
    <w:rsid w:val="008043A4"/>
    <w:rsid w:val="00880853"/>
    <w:rsid w:val="00882051"/>
    <w:rsid w:val="008D4F2A"/>
    <w:rsid w:val="008E7E85"/>
    <w:rsid w:val="00933DE4"/>
    <w:rsid w:val="00961086"/>
    <w:rsid w:val="009E7088"/>
    <w:rsid w:val="00A2064F"/>
    <w:rsid w:val="00A55A27"/>
    <w:rsid w:val="00A72CC7"/>
    <w:rsid w:val="00C248E9"/>
    <w:rsid w:val="00C55455"/>
    <w:rsid w:val="00C72710"/>
    <w:rsid w:val="00CA0983"/>
    <w:rsid w:val="00CF44CC"/>
    <w:rsid w:val="00D52068"/>
    <w:rsid w:val="00D525E0"/>
    <w:rsid w:val="00DB51EF"/>
    <w:rsid w:val="00DF5FC3"/>
    <w:rsid w:val="00EA01B1"/>
    <w:rsid w:val="00ED1542"/>
    <w:rsid w:val="00EE1058"/>
    <w:rsid w:val="00EE67E8"/>
    <w:rsid w:val="23D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5E1"/>
  <w15:chartTrackingRefBased/>
  <w15:docId w15:val="{3C2B271A-1E73-44D4-9A36-E3EF743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C89"/>
    <w:rPr>
      <w:color w:val="0563C1" w:themeColor="hyperlink"/>
      <w:u w:val="single"/>
    </w:rPr>
  </w:style>
  <w:style w:type="paragraph" w:customStyle="1" w:styleId="Default">
    <w:name w:val="Default"/>
    <w:rsid w:val="00537C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3E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3E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3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E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2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viaconvention.pl" TargetMode="External"/><Relationship Id="rId5" Type="http://schemas.openxmlformats.org/officeDocument/2006/relationships/hyperlink" Target="http://www.mazoviaconvent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J.A. Kwiatkowski</cp:lastModifiedBy>
  <cp:revision>2</cp:revision>
  <cp:lastPrinted>2025-07-31T08:47:00Z</cp:lastPrinted>
  <dcterms:created xsi:type="dcterms:W3CDTF">2025-08-14T08:57:00Z</dcterms:created>
  <dcterms:modified xsi:type="dcterms:W3CDTF">2025-08-14T08:57:00Z</dcterms:modified>
</cp:coreProperties>
</file>